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Extra Light" w:cs="Abadi Extra Light" w:eastAsia="Abadi Extra Light" w:hAnsi="Abadi Extra Light"/>
          <w:b w:val="0"/>
          <w:i w:val="0"/>
          <w:smallCaps w:val="0"/>
          <w:strike w:val="0"/>
          <w:color w:val="000000"/>
          <w:sz w:val="24"/>
          <w:szCs w:val="24"/>
          <w:u w:val="none"/>
          <w:shd w:fill="auto" w:val="clear"/>
          <w:vertAlign w:val="baseline"/>
        </w:rPr>
      </w:pPr>
      <w:r w:rsidDel="00000000" w:rsidR="00000000" w:rsidRPr="00000000">
        <w:rPr>
          <w:rFonts w:ascii="Abadi Extra Light" w:cs="Abadi Extra Light" w:eastAsia="Abadi Extra Light" w:hAnsi="Abadi Extra Light"/>
          <w:b w:val="0"/>
          <w:i w:val="0"/>
          <w:smallCaps w:val="0"/>
          <w:strike w:val="0"/>
          <w:color w:val="000000"/>
          <w:sz w:val="20"/>
          <w:szCs w:val="20"/>
          <w:u w:val="none"/>
          <w:shd w:fill="auto" w:val="clear"/>
          <w:vertAlign w:val="baseline"/>
        </w:rPr>
        <w:drawing>
          <wp:inline distB="0" distT="0" distL="0" distR="0">
            <wp:extent cx="5554738" cy="111556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54738" cy="11155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Extra Light" w:cs="Abadi Extra Light" w:eastAsia="Abadi Extra Light" w:hAnsi="Abadi Extra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badi Extra Light" w:cs="Abadi Extra Light" w:eastAsia="Abadi Extra Light" w:hAnsi="Abadi Extra Ligh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n.</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DEL CONSIGLIO DI CLASSE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SCRUTINIO I QUADRIMESTRE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Convocazione prot. del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Il giorno                 del mese di                                dell’anno           , alle ore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 è riunito, in un’aula della sede centrale dell’Istituto, il Consiglio della classe                per discutere il seguente ordine del giorno: </w:t>
      </w:r>
    </w:p>
    <w:p w:rsidR="00000000" w:rsidDel="00000000" w:rsidP="00000000" w:rsidRDefault="00000000" w:rsidRPr="00000000" w14:paraId="0000000C">
      <w:pPr>
        <w:numPr>
          <w:ilvl w:val="0"/>
          <w:numId w:val="1"/>
        </w:numPr>
        <w:spacing w:after="0"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Andamento didattico-disciplinare </w:t>
      </w:r>
    </w:p>
    <w:p w:rsidR="00000000" w:rsidDel="00000000" w:rsidP="00000000" w:rsidRDefault="00000000" w:rsidRPr="00000000" w14:paraId="0000000D">
      <w:pPr>
        <w:numPr>
          <w:ilvl w:val="0"/>
          <w:numId w:val="1"/>
        </w:numPr>
        <w:spacing w:after="0"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Scrutinio I quadrimestre</w:t>
      </w:r>
    </w:p>
    <w:p w:rsidR="00000000" w:rsidDel="00000000" w:rsidP="00000000" w:rsidRDefault="00000000" w:rsidRPr="00000000" w14:paraId="0000000E">
      <w:pPr>
        <w:numPr>
          <w:ilvl w:val="0"/>
          <w:numId w:val="1"/>
        </w:numPr>
        <w:spacing w:after="0"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Pianificazione attività di recupero e sostegno per gli allievi con scarso rendimento</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F">
      <w:pPr>
        <w:pStyle w:val="Heading2"/>
        <w:keepNext w:val="0"/>
        <w:keepLines w:val="0"/>
        <w:numPr>
          <w:ilvl w:val="0"/>
          <w:numId w:val="1"/>
        </w:numPr>
        <w:spacing w:after="0" w:before="0" w:line="240" w:lineRule="auto"/>
        <w:ind w:left="720" w:hanging="360"/>
        <w:jc w:val="both"/>
        <w:rPr>
          <w:rFonts w:ascii="Times New Roman" w:cs="Times New Roman" w:eastAsia="Times New Roman" w:hAnsi="Times New Roman"/>
          <w:sz w:val="22"/>
          <w:szCs w:val="22"/>
        </w:rPr>
      </w:pPr>
      <w:bookmarkStart w:colFirst="0" w:colLast="0" w:name="_heading=h.rry0ujetsmw7" w:id="0"/>
      <w:bookmarkEnd w:id="0"/>
      <w:r w:rsidDel="00000000" w:rsidR="00000000" w:rsidRPr="00000000">
        <w:rPr>
          <w:rFonts w:ascii="Times New Roman" w:cs="Times New Roman" w:eastAsia="Times New Roman" w:hAnsi="Times New Roman"/>
          <w:sz w:val="22"/>
          <w:szCs w:val="22"/>
          <w:rtl w:val="0"/>
        </w:rPr>
        <w:t xml:space="preserve">Compilazione delle schede informative per la famiglia</w:t>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Presiede la riunione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funge da segretario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caso la riunione sia presieduta dalla DS, svolgerà la funzione di segretario il coordinatore; nel caso in cui sia presieduta dal coordinatore, quest’ultimo designerà un segretario seduta stante]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Sono presenti i docenti:</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w:t>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DISCIPLINA</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Risultano assenti:.................................................................sostituiti rispettivamente da………………………….con nomina/e prot……….del……….</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1.Andamento didattico-disciplinare </w:t>
      </w:r>
      <w:r w:rsidDel="00000000" w:rsidR="00000000" w:rsidRPr="00000000">
        <w:rPr>
          <w:rtl w:val="0"/>
        </w:rPr>
      </w:r>
    </w:p>
    <w:p w:rsidR="00000000" w:rsidDel="00000000" w:rsidP="00000000" w:rsidRDefault="00000000" w:rsidRPr="00000000" w14:paraId="00000042">
      <w:pPr>
        <w:spacing w:after="0" w:before="120" w:line="242.40000000000003" w:lineRule="auto"/>
        <w:ind w:left="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Consiglio, dopo aver sinteticamente esaminato la situazione emersa durante il primo quadrimestre, in merito all’andamento didattico-disciplinare della classe esprime le seguenti osservazioni e si ripropone di adottare le seguenti strategie didattico-educative:</w:t>
      </w:r>
    </w:p>
    <w:p w:rsidR="00000000" w:rsidDel="00000000" w:rsidP="00000000" w:rsidRDefault="00000000" w:rsidRPr="00000000" w14:paraId="00000043">
      <w:pPr>
        <w:spacing w:after="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DIDATTICO-DISCIPLINARE GENERALE:</w:t>
      </w:r>
    </w:p>
    <w:p w:rsidR="00000000" w:rsidDel="00000000" w:rsidP="00000000" w:rsidRDefault="00000000" w:rsidRPr="00000000" w14:paraId="00000044">
      <w:pPr>
        <w:spacing w:after="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obiettivi programmati per il primo quadrimestre sono stati raggiunti per la maggior parte degli studenti tranne che per i seguenti studenti, nelle discipline sotto riportate e  per le motivazioni evidenziate di seguito:</w:t>
      </w:r>
    </w:p>
    <w:p w:rsidR="00000000" w:rsidDel="00000000" w:rsidP="00000000" w:rsidRDefault="00000000" w:rsidRPr="00000000" w14:paraId="00000045">
      <w:pPr>
        <w:spacing w:after="0" w:before="12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before="120" w:line="240" w:lineRule="auto"/>
        <w:ind w:left="0" w:firstLine="0"/>
        <w:jc w:val="both"/>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2"/>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2.3333333333335"/>
            <w:gridCol w:w="3402.3333333333335"/>
            <w:gridCol w:w="3402.3333333333335"/>
            <w:tblGridChange w:id="0">
              <w:tblGrid>
                <w:gridCol w:w="3402.3333333333335"/>
                <w:gridCol w:w="3402.3333333333335"/>
                <w:gridCol w:w="3402.333333333333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ALUNNO/A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DISCIPLINA/E IN CUI SI EVIDENZIANO INSUFFICIENZE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MOTIVAZIONI DEL MANCATO RAGGIUNGIMENTO DEGLI OBIETTIVI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05F">
      <w:pPr>
        <w:spacing w:after="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proposito di tali insufficienze, il Consiglio aggiunge le seguenti ulteriori riflessioni:...........................................</w:t>
      </w:r>
    </w:p>
    <w:p w:rsidR="00000000" w:rsidDel="00000000" w:rsidP="00000000" w:rsidRDefault="00000000" w:rsidRPr="00000000" w14:paraId="00000060">
      <w:pPr>
        <w:spacing w:after="0" w:before="12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 UN PUNTO DI VISTA DISCIPLINARE, SI SEGNALANO INOLTRE I SEGUENTI COMPORTAMENTI DISTONICI:</w:t>
      </w:r>
    </w:p>
    <w:p w:rsidR="00000000" w:rsidDel="00000000" w:rsidP="00000000" w:rsidRDefault="00000000" w:rsidRPr="00000000" w14:paraId="00000062">
      <w:pPr>
        <w:spacing w:after="0" w:before="120" w:line="240" w:lineRule="auto"/>
        <w:ind w:left="0" w:firstLine="0"/>
        <w:jc w:val="both"/>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3"/>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2.3333333333335"/>
            <w:gridCol w:w="3402.3333333333335"/>
            <w:gridCol w:w="3402.3333333333335"/>
            <w:tblGridChange w:id="0">
              <w:tblGrid>
                <w:gridCol w:w="3402.3333333333335"/>
                <w:gridCol w:w="3402.3333333333335"/>
                <w:gridCol w:w="3402.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ALUNNO/A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DISCIPLINARI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DESCRIZIONE COMPORTAMENTO/ATTEGGIAMENTO DISTONICO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075">
      <w:pPr>
        <w:spacing w:after="0" w:before="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proposito di tali comportamenti scorretti, il Consiglio aggiunge le seguenti ulteriori riflessioni:...........................................e decide di mettere in campo le seguenti strategie…………………………….</w:t>
      </w:r>
    </w:p>
    <w:p w:rsidR="00000000" w:rsidDel="00000000" w:rsidP="00000000" w:rsidRDefault="00000000" w:rsidRPr="00000000" w14:paraId="00000076">
      <w:pPr>
        <w:spacing w:after="0" w:before="12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GENERALE RELATIVO ALLA FREQUENZA </w:t>
      </w:r>
    </w:p>
    <w:p w:rsidR="00000000" w:rsidDel="00000000" w:rsidP="00000000" w:rsidRDefault="00000000" w:rsidRPr="00000000" w14:paraId="00000078">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Consiglio evidenzia che l’andamento della frequenza è stato regolare per tutti gli allievi, tranne che per i seguenti casi di seguito segnalati di alunni che hanno superato nel corso del primo quadrimestre il 25% delle assenze rispetto al monte ore del primo quadrimestre:</w:t>
      </w:r>
    </w:p>
    <w:p w:rsidR="00000000" w:rsidDel="00000000" w:rsidP="00000000" w:rsidRDefault="00000000" w:rsidRPr="00000000" w14:paraId="00000079">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tl w:val="0"/>
        </w:rPr>
      </w:r>
    </w:p>
    <w:sdt>
      <w:sdtPr>
        <w:lock w:val="contentLocked"/>
        <w:tag w:val="goog_rdk_2"/>
      </w:sdtPr>
      <w:sdtContent>
        <w:tbl>
          <w:tblPr>
            <w:tblStyle w:val="Table4"/>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635"/>
            <w:gridCol w:w="3270"/>
            <w:gridCol w:w="2700"/>
            <w:tblGridChange w:id="0">
              <w:tblGrid>
                <w:gridCol w:w="2535"/>
                <w:gridCol w:w="1635"/>
                <w:gridCol w:w="327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ALUNNI CHE HANNO SUPERATO il 25% DELLE ASSENZE NEL PRIMO QUADRIMESTRE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ALUNNO IN OBBLIGO SCOLASTICO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PROTOCOLLO/I DELLA/E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COMUNICAZIONE/I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FAMIGLIA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ESTREMI DEI CERTIFICATI E/O AUTOCERTIFICAZIONI PRESENTATE DALLA FAMIGLIA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091">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i seguenti ulteriori alunni, per i quali non è stato superato il tetto del 25% delle assenze, il Consiglio decide comunque  di segnalare alla famiglia il numero eccessivo di assenze per prevenire qualsiasi fenomeno di dispersione scolastica implicita e di FAS (Frequenza a Singhiozzo):</w:t>
      </w:r>
    </w:p>
    <w:p w:rsidR="00000000" w:rsidDel="00000000" w:rsidP="00000000" w:rsidRDefault="00000000" w:rsidRPr="00000000" w14:paraId="00000093">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4">
      <w:pPr>
        <w:spacing w:after="0" w:before="80" w:line="242.40000000000003"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comunicazioni alle famiglie circa le assenze, sia per quanto riguarda gli alunni che hanno superato il 25% sia per quanto riguarda gli alunni che hanno comunque totalizzato un numero eccessivo di assenze, verrà effettuata dal coordinatore di classe entro la prima decade di febbraio p.v. attraverso consegna di documentazione con relativa ricevuta.</w:t>
      </w:r>
    </w:p>
    <w:p w:rsidR="00000000" w:rsidDel="00000000" w:rsidP="00000000" w:rsidRDefault="00000000" w:rsidRPr="00000000" w14:paraId="00000095">
      <w:pPr>
        <w:spacing w:after="25"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2.Scrutinio I quadrimestre</w:t>
      </w:r>
    </w:p>
    <w:p w:rsidR="00000000" w:rsidDel="00000000" w:rsidP="00000000" w:rsidRDefault="00000000" w:rsidRPr="00000000" w14:paraId="00000097">
      <w:pPr>
        <w:spacing w:after="0" w:before="100" w:line="235.2" w:lineRule="auto"/>
        <w:ind w:left="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Constatata l'esistenza del numero legale (Collegium Perfectum), il Presidente dà inizio ai lavori afferenti allo scrutinio, richiamando l'attenzione di tutti i docenti sulle norme che disciplinano la valutazione periodica e sul percorso da seguire nello svolgimento delle operazioni di scrutinio.</w:t>
      </w:r>
    </w:p>
    <w:p w:rsidR="00000000" w:rsidDel="00000000" w:rsidP="00000000" w:rsidRDefault="00000000" w:rsidRPr="00000000" w14:paraId="00000098">
      <w:pPr>
        <w:spacing w:after="0" w:before="20" w:line="249.818181818181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ricorda che tutti i presenti sono tenuti al segreto d’ufficio.</w:t>
      </w:r>
    </w:p>
    <w:p w:rsidR="00000000" w:rsidDel="00000000" w:rsidP="00000000" w:rsidRDefault="00000000" w:rsidRPr="00000000" w14:paraId="00000099">
      <w:pPr>
        <w:spacing w:after="0" w:line="240" w:lineRule="auto"/>
        <w:ind w:left="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a seguito dell’abrogazione degli artt. 78 e 79 del Regio Decreto n. 653 del 4 maggio 1925, chiede ai Docenti del Consiglio di classe di condividere le procedure relative alla valutazione degli alunni.</w:t>
      </w:r>
    </w:p>
    <w:p w:rsidR="00000000" w:rsidDel="00000000" w:rsidP="00000000" w:rsidRDefault="00000000" w:rsidRPr="00000000" w14:paraId="0000009A">
      <w:pPr>
        <w:spacing w:after="0" w:line="240" w:lineRule="auto"/>
        <w:ind w:left="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in considerazione del fatto che ciascun discente ha diritto ad essere valutato, chiede al Coordinatore e a tutti i docenti di illustrare con approfondite considerazioni: l'andamento didattico e disciplinare di ciascuno studente e a fermare l'attenzione in modo particolare su quegli studenti che, avendo evidenziato particolari carenze relative al comportamento e/o agli apprendimenti, necessitano di interventi di recupero da attivare nel secondo quadrimestre.</w:t>
      </w:r>
    </w:p>
    <w:p w:rsidR="00000000" w:rsidDel="00000000" w:rsidP="00000000" w:rsidRDefault="00000000" w:rsidRPr="00000000" w14:paraId="0000009B">
      <w:pPr>
        <w:spacing w:after="0" w:line="235.2" w:lineRule="auto"/>
        <w:ind w:left="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chiede poi a tutti i docenti se siano in possesso degli elementi utili a consentire una valutazione quadrimestrale, razionale, obiettiva e fondata su un adeguato e congruo numero di prove (pari almeno a 2).</w:t>
      </w:r>
    </w:p>
    <w:p w:rsidR="00000000" w:rsidDel="00000000" w:rsidP="00000000" w:rsidRDefault="00000000" w:rsidRPr="00000000" w14:paraId="0000009C">
      <w:pPr>
        <w:spacing w:after="0" w:line="240"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Ricevuta da tutti i docenti la risposta positiva, il Presidente invita il docente Coordinatore a proporre il voto di condotta. Il Presidente ricorda che il voto di condotta è unico e viene assegnato dal Consiglio di Classe, sulla base degli indicatori e della griglia di valutazione approvati dal Collegio dei Docenti in ottemperanza alle disposizioni contenute nell’art. 2 della L. 169/2008, della CM 10/2009, del D.P.R. 122/2009.</w:t>
      </w:r>
    </w:p>
    <w:p w:rsidR="00000000" w:rsidDel="00000000" w:rsidP="00000000" w:rsidRDefault="00000000" w:rsidRPr="00000000" w14:paraId="0000009D">
      <w:pPr>
        <w:spacing w:after="0" w:line="235.2" w:lineRule="auto"/>
        <w:ind w:left="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Consiglio di classe discute sulla proposta del Coordinatore e procede poi all'assegnazione del voto di condotta ad ogni allievo in base ai seguenti parametri alla luce dello Statuto delle studentesse e degli studenti:</w:t>
      </w:r>
    </w:p>
    <w:p w:rsidR="00000000" w:rsidDel="00000000" w:rsidP="00000000" w:rsidRDefault="00000000" w:rsidRPr="00000000" w14:paraId="0000009E">
      <w:pPr>
        <w:spacing w:after="0" w:line="235.2" w:lineRule="auto"/>
        <w:ind w:left="0" w:right="1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0" w:line="235.2" w:lineRule="auto"/>
        <w:ind w:left="0" w:right="160" w:firstLine="0"/>
        <w:jc w:val="both"/>
        <w:rPr>
          <w:rFonts w:ascii="Times New Roman" w:cs="Times New Roman" w:eastAsia="Times New Roman" w:hAnsi="Times New Roman"/>
        </w:rPr>
      </w:pPr>
      <w:r w:rsidDel="00000000" w:rsidR="00000000" w:rsidRPr="00000000">
        <w:rPr>
          <w:rtl w:val="0"/>
        </w:rPr>
      </w:r>
    </w:p>
    <w:tbl>
      <w:tblPr>
        <w:tblStyle w:val="Table5"/>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2.40000000000003" w:lineRule="auto"/>
              <w:ind w:left="120" w:right="120"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Voto 10 - 9: E’assiduo nella frequenza, collabora attivamente allo sviluppo del proprio progetto di vita e alla promozione della comunità scolastica e del territorio; esprime una partecipazione democratica ed attiva alla vita scolastica e sociale.</w:t>
            </w:r>
          </w:p>
          <w:p w:rsidR="00000000" w:rsidDel="00000000" w:rsidP="00000000" w:rsidRDefault="00000000" w:rsidRPr="00000000" w14:paraId="000000A1">
            <w:pPr>
              <w:widowControl w:val="0"/>
              <w:spacing w:after="0" w:before="100" w:line="242.40000000000003" w:lineRule="auto"/>
              <w:ind w:left="120" w:right="100"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Voto 8: Frequenta regolarmente; partecipa attivamente al dialogo educativo; rispetta le regole dell’istituzione scolastica. Non ha riportato provvedimenti disciplinari e/o ha mostrato di aver compreso le motivazioni delle ammonizioni ricevute e di aver assunto comportamenti corretti.</w:t>
            </w:r>
          </w:p>
          <w:p w:rsidR="00000000" w:rsidDel="00000000" w:rsidP="00000000" w:rsidRDefault="00000000" w:rsidRPr="00000000" w14:paraId="000000A2">
            <w:pPr>
              <w:widowControl w:val="0"/>
              <w:spacing w:after="0" w:before="100" w:line="242.40000000000003" w:lineRule="auto"/>
              <w:ind w:left="120" w:right="120"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Voto 7: Frequenta non assiduamente, partecipa alle attività se sollecitato; non sempre è corretto nei rapporti interpersonali. Ha riportato fino a 5 provvedimenti disciplinari e ha in parte mostrato di aver compreso le motivazioni delle ammonizioni ricevute</w:t>
            </w:r>
          </w:p>
          <w:p w:rsidR="00000000" w:rsidDel="00000000" w:rsidP="00000000" w:rsidRDefault="00000000" w:rsidRPr="00000000" w14:paraId="000000A3">
            <w:pPr>
              <w:widowControl w:val="0"/>
              <w:spacing w:after="0" w:before="120" w:line="242.40000000000003" w:lineRule="auto"/>
              <w:ind w:left="120" w:right="80"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Voto 6: frequenta poco assiduamente; mostra scarso rispetto del regolamento d’istituto; spesso la presenza in classe è poco costruttiva e non sempre corretta. Ha riportato una diffida. Non ha mostrato un’effettiva disponibilità a mettere in discussione i comportamenti non corretti che assume.</w:t>
            </w:r>
          </w:p>
          <w:p w:rsidR="00000000" w:rsidDel="00000000" w:rsidP="00000000" w:rsidRDefault="00000000" w:rsidRPr="00000000" w14:paraId="000000A4">
            <w:pPr>
              <w:widowControl w:val="0"/>
              <w:spacing w:after="0" w:before="100" w:line="244.8" w:lineRule="auto"/>
              <w:ind w:left="120" w:right="100" w:firstLine="2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Voto 5: la valutazione del comportamento con voto inferiore a sei decimi in sede di scrutinio intermedio o finale è decisa dal Consiglio di classe nei confronti di studenti che hanno riportato ripetuti provvedimenti di allontanamento dalla scuola e hanno continuato a perseverare in comportamenti non rispettosi della comunità scolastica, di sé e degli altri.</w:t>
            </w:r>
          </w:p>
        </w:tc>
      </w:tr>
    </w:tbl>
    <w:p w:rsidR="00000000" w:rsidDel="00000000" w:rsidP="00000000" w:rsidRDefault="00000000" w:rsidRPr="00000000" w14:paraId="000000A5">
      <w:pPr>
        <w:spacing w:after="0" w:line="235.2" w:lineRule="auto"/>
        <w:ind w:left="0" w:right="1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after="0" w:before="100" w:line="240" w:lineRule="auto"/>
        <w:ind w:left="120" w:right="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Vengono quindi assegnati all'unanimità (oppure a maggioranza nei casi di seguito indicati) i voti di comportamento che sono poi tabulati sul registro elettronico e contemporaneamente risultanti sul registro e sulle pagelle.</w:t>
      </w:r>
    </w:p>
    <w:p w:rsidR="00000000" w:rsidDel="00000000" w:rsidP="00000000" w:rsidRDefault="00000000" w:rsidRPr="00000000" w14:paraId="000000A7">
      <w:pPr>
        <w:spacing w:after="0" w:line="240" w:lineRule="auto"/>
        <w:ind w:left="12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Presidente invita, poi, i singoli docenti a proporre il voto di profitto relativo alle singole discipline, così come richiesto dallo specifico piano di studio, e sulla base di un breve giudizio motivato desunto dagli esiti di un congruo numero di prove effettuate nel corso del primo quadrimestre, in considerazione per ogni alunno delle conoscenze, abilità e competenze acquisite per ogni disciplina, dell’impegno, dell’interesse, dell’atteggiamento nei confronti dell’attività educativa, della partecipazione alle azioni di sostegno e di recupero in itinere e degli esiti evidenziati; segnala inoltre l’esigenza di attivare interventi di sostegno o di recupero.</w:t>
      </w:r>
    </w:p>
    <w:p w:rsidR="00000000" w:rsidDel="00000000" w:rsidP="00000000" w:rsidRDefault="00000000" w:rsidRPr="00000000" w14:paraId="000000A8">
      <w:pPr>
        <w:spacing w:after="0" w:line="240" w:lineRule="auto"/>
        <w:ind w:left="1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Consiglio di classe, ascoltato il giudizio espresso dai singoli docenti sul livello di preparazione raggiunto, anche in rapporto alla situazione di partenza, sull'impegno dimostrato dall'allievo o dall’allieva, sulla sua partecipazione alle attività didattiche e sui risultati emersi dagli interventi di recupero attivati nel primo quadrimestre dell'anno scolastico, fa proprio il voto così come proposto e precedentemente tabulato da ciascun docente sul registro elettronico e lo attribuisce all'unanimità (oppure a maggioranza nei casi di seguito indicati) ad ogni singolo discente. I voti tabulati sono, pertanto, deliberati dal Consiglio di Classe; essi risulteranno contemporaneamente visibili sul registro e sulle pagelle.</w:t>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Pianificazione attività di recupero e sostegno per gli allievi con scarso rendimento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B">
      <w:pPr>
        <w:spacing w:after="0" w:before="100" w:line="240" w:lineRule="auto"/>
        <w:ind w:left="1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Consiglio di Classe, in ottemperanza al D.M. 80/2007 e all’ O.M. 92/2007, sulla base dei criteri deliberati dal Collegio dei Docenti, dopo aver analizzato il quadro complessivo del giudizio di merito sul profitto raggiunto e tenuto conto delle proposte e delle segnalazioni da parte dei docenti interessati, effettuata un’attenta analisi delle esigenze formative, della natura delle difficoltà di apprendimento, dei punti di debolezza nelle progettazioni formative su cui intervenire, delle lacune e delle problematiche individuali del singolo studente, individua gli studenti che sono tenuti a partecipare alle iniziative di recupero che l'Istituto attiverà nel corso del secondo quadrimestre, nelle discipline indicate ed evidenziate nell'apposito modello, che verrà compilato per ogni studente destinatario di azioni di recupero e sostegno.</w:t>
      </w:r>
    </w:p>
    <w:p w:rsidR="00000000" w:rsidDel="00000000" w:rsidP="00000000" w:rsidRDefault="00000000" w:rsidRPr="00000000" w14:paraId="000000AC">
      <w:pPr>
        <w:spacing w:after="0" w:line="240" w:lineRule="auto"/>
        <w:ind w:left="1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 quindi, e segnala le tipologie di intervento di sostegno o recupero da realizzare, compatibilmente con le risorse finanziarie disponibili, per ciascuna disciplina in cui ogni singolo alunno ha conseguito valutazione di insufficienza proponendo quindi di indirizzare i seguenti alunni alle seguenti attività di recupero che saranno puntualmente comunicate ai genitori:</w:t>
      </w:r>
    </w:p>
    <w:p w:rsidR="00000000" w:rsidDel="00000000" w:rsidP="00000000" w:rsidRDefault="00000000" w:rsidRPr="00000000" w14:paraId="000000AD">
      <w:pPr>
        <w:spacing w:after="0" w:line="240" w:lineRule="auto"/>
        <w:ind w:left="120" w:right="140" w:firstLine="0"/>
        <w:jc w:val="both"/>
        <w:rPr>
          <w:rFonts w:ascii="Times New Roman" w:cs="Times New Roman" w:eastAsia="Times New Roman" w:hAnsi="Times New Roman"/>
        </w:rPr>
      </w:pPr>
      <w:r w:rsidDel="00000000" w:rsidR="00000000" w:rsidRPr="00000000">
        <w:rPr>
          <w:rtl w:val="0"/>
        </w:rPr>
      </w:r>
    </w:p>
    <w:tbl>
      <w:tblPr>
        <w:tblStyle w:val="Table6"/>
        <w:tblW w:w="10204.7244094488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3.764510615596"/>
        <w:gridCol w:w="2624.803643584703"/>
        <w:gridCol w:w="1920.588031891246"/>
        <w:gridCol w:w="1920.588031891246"/>
        <w:gridCol w:w="1894.9801914660293"/>
        <w:tblGridChange w:id="0">
          <w:tblGrid>
            <w:gridCol w:w="1843.764510615596"/>
            <w:gridCol w:w="2624.803643584703"/>
            <w:gridCol w:w="1920.588031891246"/>
            <w:gridCol w:w="1920.588031891246"/>
            <w:gridCol w:w="1894.9801914660293"/>
          </w:tblGrid>
        </w:tblGridChange>
      </w:tblGrid>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E">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F">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3"/>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0">
            <w:pPr>
              <w:spacing w:after="240" w:before="240" w:line="242.1818181818182"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 opzionare una sola tra le voci sotto riportate</w:t>
            </w:r>
          </w:p>
        </w:tc>
      </w:tr>
      <w:tr>
        <w:trPr>
          <w:cantSplit w:val="0"/>
          <w:tblHeader w:val="0"/>
        </w:trPr>
        <w:tc>
          <w:tcPr>
            <w:vMerge w:val="restart"/>
            <w:tcBorders>
              <w:top w:color="000000" w:space="0" w:sz="0" w:val="nil"/>
              <w:left w:color="000000" w:space="0" w:sz="5" w:val="single"/>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B3">
            <w:pPr>
              <w:spacing w:after="0" w:before="0" w:line="240" w:lineRule="auto"/>
              <w:ind w:left="14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B4">
            <w:pPr>
              <w:ind w:left="14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ALUNNO/A</w:t>
            </w:r>
          </w:p>
          <w:p w:rsidR="00000000" w:rsidDel="00000000" w:rsidP="00000000" w:rsidRDefault="00000000" w:rsidRPr="00000000" w14:paraId="000000B5">
            <w:pPr>
              <w:ind w:left="14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6">
            <w:pPr>
              <w:ind w:left="14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vMerge w:val="restart"/>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B7">
            <w:pPr>
              <w:spacing w:after="0" w:before="0" w:line="240" w:lineRule="auto"/>
              <w:ind w:left="14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B8">
            <w:pPr>
              <w:ind w:left="14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DISCIPLINA/E</w:t>
            </w:r>
          </w:p>
          <w:p w:rsidR="00000000" w:rsidDel="00000000" w:rsidP="00000000" w:rsidRDefault="00000000" w:rsidRPr="00000000" w14:paraId="000000B9">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A">
            <w:pPr>
              <w:ind w:left="14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vMerge w:val="restart"/>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BB">
            <w:pPr>
              <w:spacing w:after="0" w:before="0" w:line="240" w:lineRule="auto"/>
              <w:ind w:left="141.7322834645671" w:right="-17.71653543307025"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ATTIVITA’  DI RECUPERO                             IN  ITINERE NEL CORSO</w:t>
            </w:r>
          </w:p>
          <w:p w:rsidR="00000000" w:rsidDel="00000000" w:rsidP="00000000" w:rsidRDefault="00000000" w:rsidRPr="00000000" w14:paraId="000000BC">
            <w:pPr>
              <w:ind w:left="141.7322834645671" w:right="124.01574803149686"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DEL SECONDO QUADRIMESTRE</w:t>
            </w:r>
          </w:p>
        </w:tc>
        <w:tc>
          <w:tcPr>
            <w:vMerge w:val="restart"/>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BD">
            <w:pPr>
              <w:ind w:left="141.7322834645671" w:right="-17.71653543307025"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ATTIVITA’  DI RECUPERO                             ATTRAVERSO MENTORING DIDATTICO *</w:t>
            </w:r>
          </w:p>
        </w:tc>
        <w:tc>
          <w:tcPr>
            <w:vMerge w:val="restart"/>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BE">
            <w:pPr>
              <w:spacing w:after="0" w:before="0" w:line="240" w:lineRule="auto"/>
              <w:ind w:left="141.7322834645671" w:right="94.01574803149686"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FREQUENZA CORSI                                 DI RECUPERO</w:t>
            </w:r>
          </w:p>
          <w:p w:rsidR="00000000" w:rsidDel="00000000" w:rsidP="00000000" w:rsidRDefault="00000000" w:rsidRPr="00000000" w14:paraId="000000BF">
            <w:pPr>
              <w:ind w:left="141.7322834645671" w:right="94.01574803149686"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POMERIDIANI</w:t>
            </w:r>
          </w:p>
          <w:p w:rsidR="00000000" w:rsidDel="00000000" w:rsidP="00000000" w:rsidRDefault="00000000" w:rsidRPr="00000000" w14:paraId="000000C0">
            <w:pPr>
              <w:ind w:left="141.7322834645671" w:right="94.01574803149686"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COMPETENZE DI BASE**</w:t>
            </w:r>
          </w:p>
          <w:p w:rsidR="00000000" w:rsidDel="00000000" w:rsidP="00000000" w:rsidRDefault="00000000" w:rsidRPr="00000000" w14:paraId="000000C1">
            <w:pPr>
              <w:ind w:left="14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r>
      <w:tr>
        <w:trPr>
          <w:cantSplit w:val="0"/>
          <w:trHeight w:val="315" w:hRule="atLeast"/>
          <w:tblHeader w:val="0"/>
        </w:trPr>
        <w:tc>
          <w:tcPr>
            <w:vMerge w:val="continue"/>
            <w:tcBorders>
              <w:top w:color="000000" w:space="0" w:sz="0" w:val="nil"/>
              <w:left w:color="000000" w:space="0" w:sz="5" w:val="single"/>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2">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3">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4">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5">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6">
            <w:pPr>
              <w:spacing w:after="0" w:before="0" w:line="240" w:lineRule="auto"/>
              <w:ind w:left="0" w:firstLine="0"/>
              <w:jc w:val="both"/>
              <w:rPr>
                <w:rFonts w:ascii="Times New Roman" w:cs="Times New Roman" w:eastAsia="Times New Roman" w:hAnsi="Times New Roman"/>
                <w:b w:val="1"/>
                <w:sz w:val="16"/>
                <w:szCs w:val="16"/>
              </w:rPr>
            </w:pPr>
            <w:r w:rsidDel="00000000" w:rsidR="00000000" w:rsidRPr="00000000">
              <w:rPr>
                <w:rtl w:val="0"/>
              </w:rPr>
            </w:r>
          </w:p>
        </w:tc>
      </w:tr>
      <w:tr>
        <w:trPr>
          <w:cantSplit w:val="0"/>
          <w:trHeight w:val="330" w:hRule="atLeast"/>
          <w:tblHeader w:val="0"/>
        </w:trPr>
        <w:tc>
          <w:tcPr>
            <w:vMerge w:val="continue"/>
            <w:tcBorders>
              <w:top w:color="000000" w:space="0" w:sz="0" w:val="nil"/>
              <w:left w:color="000000" w:space="0" w:sz="5" w:val="single"/>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7">
            <w:pPr>
              <w:spacing w:after="0" w:before="0" w:line="240" w:lineRule="auto"/>
              <w:ind w:left="0" w:firstLine="0"/>
              <w:jc w:val="both"/>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8">
            <w:pPr>
              <w:spacing w:after="0" w:before="0" w:line="240" w:lineRule="auto"/>
              <w:ind w:left="0" w:firstLine="0"/>
              <w:jc w:val="both"/>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9">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A">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B">
            <w:pPr>
              <w:spacing w:after="0" w:before="0" w:line="240" w:lineRule="auto"/>
              <w:ind w:left="0" w:firstLine="0"/>
              <w:jc w:val="both"/>
              <w:rPr>
                <w:rFonts w:ascii="Times New Roman" w:cs="Times New Roman" w:eastAsia="Times New Roman" w:hAnsi="Times New Roman"/>
                <w:b w:val="1"/>
                <w:sz w:val="16"/>
                <w:szCs w:val="16"/>
              </w:rPr>
            </w:pPr>
            <w:r w:rsidDel="00000000" w:rsidR="00000000" w:rsidRPr="00000000">
              <w:rPr>
                <w:rtl w:val="0"/>
              </w:rPr>
            </w:r>
          </w:p>
        </w:tc>
      </w:tr>
      <w:tr>
        <w:trPr>
          <w:cantSplit w:val="0"/>
          <w:trHeight w:val="180" w:hRule="atLeast"/>
          <w:tblHeader w:val="0"/>
        </w:trPr>
        <w:tc>
          <w:tcPr>
            <w:vMerge w:val="continue"/>
            <w:tcBorders>
              <w:top w:color="000000" w:space="0" w:sz="0" w:val="nil"/>
              <w:left w:color="000000" w:space="0" w:sz="5" w:val="single"/>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C">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D">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E">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CF">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D0">
            <w:pPr>
              <w:spacing w:after="0" w:before="0" w:line="240" w:lineRule="auto"/>
              <w:ind w:left="0" w:firstLine="0"/>
              <w:jc w:val="both"/>
              <w:rPr>
                <w:rFonts w:ascii="Times New Roman" w:cs="Times New Roman" w:eastAsia="Times New Roman" w:hAnsi="Times New Roman"/>
                <w:b w:val="1"/>
                <w:sz w:val="16"/>
                <w:szCs w:val="16"/>
              </w:rPr>
            </w:pPr>
            <w:r w:rsidDel="00000000" w:rsidR="00000000" w:rsidRPr="00000000">
              <w:rPr>
                <w:rtl w:val="0"/>
              </w:rPr>
            </w:r>
          </w:p>
        </w:tc>
      </w:tr>
      <w:tr>
        <w:trPr>
          <w:cantSplit w:val="0"/>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D1">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D2">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D3">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center"/>
          </w:tcPr>
          <w:p w:rsidR="00000000" w:rsidDel="00000000" w:rsidP="00000000" w:rsidRDefault="00000000" w:rsidRPr="00000000" w14:paraId="000000D4">
            <w:pPr>
              <w:spacing w:after="0" w:before="0" w:line="240" w:lineRule="auto"/>
              <w:ind w:left="0" w:right="124.01574803149686" w:firstLine="0"/>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5">
            <w:pPr>
              <w:spacing w:after="0" w:before="0" w:line="240" w:lineRule="auto"/>
              <w:ind w:left="0" w:firstLine="0"/>
              <w:jc w:val="both"/>
              <w:rPr>
                <w:rFonts w:ascii="Times New Roman" w:cs="Times New Roman" w:eastAsia="Times New Roman" w:hAnsi="Times New Roman"/>
                <w:sz w:val="16"/>
                <w:szCs w:val="16"/>
              </w:rPr>
            </w:pPr>
            <w:r w:rsidDel="00000000" w:rsidR="00000000" w:rsidRPr="00000000">
              <w:rPr>
                <w:rtl w:val="0"/>
              </w:rPr>
            </w:r>
          </w:p>
        </w:tc>
      </w:tr>
      <w:tr>
        <w:trPr>
          <w:cantSplit w:val="0"/>
          <w:trHeight w:val="747.9785156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6">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7">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8">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9">
            <w:pPr>
              <w:spacing w:after="240" w:before="240" w:line="240" w:lineRule="auto"/>
              <w:ind w:left="140"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A">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B">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C">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D">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E">
            <w:pPr>
              <w:spacing w:after="240" w:before="240" w:line="240" w:lineRule="auto"/>
              <w:ind w:left="140"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F">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0">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1">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2">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3">
            <w:pPr>
              <w:spacing w:after="240" w:before="240" w:line="240" w:lineRule="auto"/>
              <w:ind w:left="140"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4">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5">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6">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7">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8">
            <w:pPr>
              <w:spacing w:after="240" w:before="240" w:line="240" w:lineRule="auto"/>
              <w:ind w:left="140" w:firstLine="0"/>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9">
            <w:pPr>
              <w:spacing w:after="240" w:before="240" w:line="240" w:lineRule="auto"/>
              <w:ind w:lef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EA">
      <w:pPr>
        <w:spacing w:after="0" w:before="120" w:line="240" w:lineRule="auto"/>
        <w:ind w:left="420" w:firstLine="0"/>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*MATEMATICA, ITALIANO, INGLESE, STORIA DELL’ARTE, PEDAGOGIA, TAC</w:t>
      </w:r>
    </w:p>
    <w:p w:rsidR="00000000" w:rsidDel="00000000" w:rsidP="00000000" w:rsidRDefault="00000000" w:rsidRPr="00000000" w14:paraId="000000EB">
      <w:pPr>
        <w:spacing w:after="0" w:before="120" w:line="240" w:lineRule="auto"/>
        <w:ind w:left="420" w:firstLine="0"/>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**MATEMATICA, ITALIANO, INGLESE,</w:t>
      </w:r>
    </w:p>
    <w:p w:rsidR="00000000" w:rsidDel="00000000" w:rsidP="00000000" w:rsidRDefault="00000000" w:rsidRPr="00000000" w14:paraId="000000EC">
      <w:pPr>
        <w:spacing w:after="0" w:before="120" w:line="240" w:lineRule="auto"/>
        <w:ind w:left="420" w:firstLine="0"/>
        <w:jc w:val="both"/>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ED">
      <w:pPr>
        <w:pStyle w:val="Heading2"/>
        <w:keepNext w:val="0"/>
        <w:keepLines w:val="0"/>
        <w:spacing w:after="0" w:before="140" w:line="240" w:lineRule="auto"/>
        <w:ind w:left="0" w:firstLine="0"/>
        <w:jc w:val="both"/>
        <w:rPr>
          <w:rFonts w:ascii="Times New Roman" w:cs="Times New Roman" w:eastAsia="Times New Roman" w:hAnsi="Times New Roman"/>
          <w:sz w:val="22"/>
          <w:szCs w:val="22"/>
        </w:rPr>
      </w:pPr>
      <w:bookmarkStart w:colFirst="0" w:colLast="0" w:name="_heading=h.78r6ox15rwt" w:id="1"/>
      <w:bookmarkEnd w:id="1"/>
      <w:r w:rsidDel="00000000" w:rsidR="00000000" w:rsidRPr="00000000">
        <w:rPr>
          <w:rFonts w:ascii="Times New Roman" w:cs="Times New Roman" w:eastAsia="Times New Roman" w:hAnsi="Times New Roman"/>
          <w:sz w:val="22"/>
          <w:szCs w:val="22"/>
          <w:rtl w:val="0"/>
        </w:rPr>
        <w:t xml:space="preserve">4. Compilazione delle schede informative per la famiglia</w:t>
      </w:r>
    </w:p>
    <w:p w:rsidR="00000000" w:rsidDel="00000000" w:rsidP="00000000" w:rsidRDefault="00000000" w:rsidRPr="00000000" w14:paraId="000000EE">
      <w:pPr>
        <w:spacing w:after="0" w:before="100" w:line="240" w:lineRule="auto"/>
        <w:ind w:left="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coordinatore, sentiti tutti i membri del Consiglio, coadiuvato dai seguenti docenti………………………………………….provvede alla compilazione del modulo relativo alla comunicazione delle insufficienze alle famiglie con la specifica relativa alle discipline, alle carenze riscontrate e alle modalità di recupero individuate dal Consiglio.</w:t>
      </w:r>
    </w:p>
    <w:p w:rsidR="00000000" w:rsidDel="00000000" w:rsidP="00000000" w:rsidRDefault="00000000" w:rsidRPr="00000000" w14:paraId="000000EF">
      <w:pPr>
        <w:spacing w:after="0" w:before="12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Tale modulo sarà consegnato alle famiglie dal coordinatore entro la prima decade di febbraio.</w:t>
      </w:r>
    </w:p>
    <w:p w:rsidR="00000000" w:rsidDel="00000000" w:rsidP="00000000" w:rsidRDefault="00000000" w:rsidRPr="00000000" w14:paraId="000000F0">
      <w:pPr>
        <w:ind w:left="1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Esauriti i punti di discussione, la riunione ha termine alle ore </w:t>
      </w:r>
    </w:p>
    <w:p w:rsidR="00000000" w:rsidDel="00000000" w:rsidP="00000000" w:rsidRDefault="00000000" w:rsidRPr="00000000" w14:paraId="000000F2">
      <w:pPr>
        <w:ind w:left="1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segretario verbalizzante</w:t>
        <w:tab/>
        <w:tab/>
        <w:tab/>
        <w:tab/>
        <w:t xml:space="preserve">              </w:t>
        <w:tab/>
        <w:tab/>
        <w:t xml:space="preserve">Il Presidente </w:t>
      </w:r>
    </w:p>
    <w:sectPr>
      <w:footerReference r:id="rId8" w:type="default"/>
      <w:pgSz w:h="16838" w:w="11906" w:orient="portrait"/>
      <w:pgMar w:bottom="566.9291338582677" w:top="566.9291338582677" w:left="1133.8582677165355" w:right="566.929133858267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badi Extra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uT3RN7TbjTMYkdhwHVrORTcsA==">CgMxLjAaHwoBMBIaChgICVIUChJ0YWJsZS5jN2I5NGE5bWwycnkaHgoBMRIZChcICVITChF0YWJsZS4zaXVrcDJ0NHJkeBofCgEyEhoKGAgJUhQKEnRhYmxlLnB6ajFqdTcyZWc5OTIOaC5ycnkwdWpldHNtdzcyDWguNzhyNm94MTVyd3Q4AHIhMUZ5bElOY0NTOG1GV1VmM0ladmUwRjRudUF1aUNfVEh5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